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0DA" w:rsidRPr="006730DA" w:rsidRDefault="006730DA" w:rsidP="006730DA">
      <w:pPr>
        <w:spacing w:after="0" w:line="240" w:lineRule="auto"/>
        <w:outlineLvl w:val="1"/>
        <w:rPr>
          <w:rFonts w:eastAsia="Times New Roman" w:cstheme="minorHAnsi"/>
          <w:b/>
          <w:bCs/>
          <w:color w:val="FF8C00"/>
          <w:spacing w:val="-6"/>
          <w:sz w:val="24"/>
          <w:szCs w:val="24"/>
          <w:lang w:eastAsia="es-PE"/>
        </w:rPr>
      </w:pPr>
      <w:bookmarkStart w:id="0" w:name="_GoBack"/>
      <w:r w:rsidRPr="006730DA">
        <w:rPr>
          <w:rFonts w:eastAsia="Times New Roman" w:cstheme="minorHAnsi"/>
          <w:b/>
          <w:bCs/>
          <w:color w:val="FF8C00"/>
          <w:spacing w:val="-6"/>
          <w:sz w:val="24"/>
          <w:szCs w:val="24"/>
          <w:lang w:eastAsia="es-PE"/>
        </w:rPr>
        <w:t>B</w:t>
      </w:r>
      <w:r w:rsidRPr="006730DA">
        <w:rPr>
          <w:rFonts w:eastAsia="Times New Roman" w:cstheme="minorHAnsi"/>
          <w:b/>
          <w:bCs/>
          <w:color w:val="FF8C00"/>
          <w:spacing w:val="-6"/>
          <w:sz w:val="24"/>
          <w:szCs w:val="24"/>
          <w:lang w:eastAsia="es-PE"/>
        </w:rPr>
        <w:t>aja autoestima, ¿cómo la elevamos?</w:t>
      </w:r>
    </w:p>
    <w:p w:rsidR="006730DA" w:rsidRPr="006730DA" w:rsidRDefault="006730DA" w:rsidP="006730DA">
      <w:pPr>
        <w:spacing w:after="0" w:line="240" w:lineRule="auto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Si un niño ha crecido en un entorno lleno de críticas, seguramente no desarrolle una autoestima sana. De hecho, en muchas ocasiones esas críticas vienen de uno propio y esto puede ser igual de dañino que las ajenas.</w:t>
      </w:r>
    </w:p>
    <w:p w:rsidR="006730DA" w:rsidRPr="006730DA" w:rsidRDefault="006730DA" w:rsidP="006730DA">
      <w:pPr>
        <w:spacing w:after="0" w:line="240" w:lineRule="auto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Adrados señala que en la mayoría de los adolescentes </w:t>
      </w:r>
      <w:r w:rsidRPr="006730DA">
        <w:rPr>
          <w:rFonts w:eastAsia="Times New Roman" w:cstheme="minorHAnsi"/>
          <w:b/>
          <w:bCs/>
          <w:color w:val="373737"/>
          <w:spacing w:val="-6"/>
          <w:sz w:val="24"/>
          <w:szCs w:val="24"/>
          <w:lang w:eastAsia="es-PE"/>
        </w:rPr>
        <w:t>la baja autoestima provoca un malestar emocional de carácter temporal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, pero en algunos, puede derivar en problemas más graves, como </w:t>
      </w:r>
      <w:hyperlink r:id="rId7" w:tgtFrame="_self" w:history="1">
        <w:r w:rsidRPr="006730DA">
          <w:rPr>
            <w:rFonts w:eastAsia="Times New Roman" w:cstheme="minorHAnsi"/>
            <w:b/>
            <w:bCs/>
            <w:color w:val="337AB7"/>
            <w:spacing w:val="-6"/>
            <w:sz w:val="24"/>
            <w:szCs w:val="24"/>
            <w:u w:val="single"/>
            <w:lang w:eastAsia="es-PE"/>
          </w:rPr>
          <w:t>depresión</w:t>
        </w:r>
      </w:hyperlink>
      <w:r w:rsidRPr="006730DA">
        <w:rPr>
          <w:rFonts w:eastAsia="Times New Roman" w:cstheme="minorHAnsi"/>
          <w:b/>
          <w:bCs/>
          <w:color w:val="373737"/>
          <w:spacing w:val="-6"/>
          <w:sz w:val="24"/>
          <w:szCs w:val="24"/>
          <w:lang w:eastAsia="es-PE"/>
        </w:rPr>
        <w:t>, fobias y adicciones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. “La gravedad del problema dependerá no sólo de la naturaleza de la baja autoestima del adolescente, sino también de otras condiciones, como transiciones difíciles en la escolarización, la vida familiar y otros acontecimientos estresantes”, advierte el experto.</w:t>
      </w:r>
    </w:p>
    <w:p w:rsidR="006730DA" w:rsidRPr="006730DA" w:rsidRDefault="006730DA" w:rsidP="006730DA">
      <w:pPr>
        <w:spacing w:after="0" w:line="240" w:lineRule="auto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Respecto a las mejores formas para reforzarla, Adrados señala que los últimos estudios han identificado una serie de rasgos en el estilo educativo de los padres y personas encargadas de educación asociados a una alta autoestima en los hijos. Estos serían:</w:t>
      </w:r>
    </w:p>
    <w:p w:rsidR="006730DA" w:rsidRPr="006730DA" w:rsidRDefault="006730DA" w:rsidP="006730DA">
      <w:pPr>
        <w:numPr>
          <w:ilvl w:val="0"/>
          <w:numId w:val="1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Expresión del afecto acorde con las diferentes situaciones que van surgiendo, ajustado en tiempo, forma e intensidad.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1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b/>
          <w:bCs/>
          <w:color w:val="373737"/>
          <w:spacing w:val="-6"/>
          <w:sz w:val="24"/>
          <w:szCs w:val="24"/>
          <w:lang w:eastAsia="es-PE"/>
        </w:rPr>
        <w:t>Preocupación y cuidado del vínculo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, así como de los diferentes problemas que vayan surgiendo.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1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Armonía en el hogar familiar.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1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Participación en actividades familiares conjuntas.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1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Establecimiento de normas claras, justas y coherentes.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1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Ejemplo por parte de los padres de cumplimiento de las normas.</w:t>
      </w:r>
    </w:p>
    <w:p w:rsidR="006730DA" w:rsidRPr="006730DA" w:rsidRDefault="006730DA" w:rsidP="006730DA">
      <w:pPr>
        <w:spacing w:after="0" w:line="240" w:lineRule="auto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 xml:space="preserve">Además, desde la </w:t>
      </w:r>
      <w:proofErr w:type="spellStart"/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Aepap</w:t>
      </w:r>
      <w:proofErr w:type="spellEnd"/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 xml:space="preserve"> dan estos consejos dirigidos al adolescente para mejorar su autoestima: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b/>
          <w:bCs/>
          <w:color w:val="373737"/>
          <w:spacing w:val="-6"/>
          <w:sz w:val="24"/>
          <w:szCs w:val="24"/>
          <w:lang w:eastAsia="es-PE"/>
        </w:rPr>
        <w:t>Deja de tener pensamientos negativos sobre ti mismo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Ponte como objetivo el logro en vez de la perfección.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Considera los errores como oportunidades de aprendizaje.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b/>
          <w:bCs/>
          <w:color w:val="373737"/>
          <w:spacing w:val="-6"/>
          <w:sz w:val="24"/>
          <w:szCs w:val="24"/>
          <w:lang w:eastAsia="es-PE"/>
        </w:rPr>
        <w:t>Prueba cosas nuevas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Identifica lo que puedes cambiar y lo que no.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Fíjate metas.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Colabora en una labor social.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t>Haz ejercicio.</w:t>
      </w:r>
      <w:r w:rsidRPr="006730DA"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  <w:br/>
        <w:t> </w:t>
      </w:r>
    </w:p>
    <w:p w:rsidR="006730DA" w:rsidRPr="006730DA" w:rsidRDefault="006730DA" w:rsidP="006730DA">
      <w:pPr>
        <w:numPr>
          <w:ilvl w:val="0"/>
          <w:numId w:val="2"/>
        </w:numPr>
        <w:spacing w:after="0" w:line="240" w:lineRule="auto"/>
        <w:ind w:left="450"/>
        <w:rPr>
          <w:rFonts w:eastAsia="Times New Roman" w:cstheme="minorHAnsi"/>
          <w:color w:val="373737"/>
          <w:spacing w:val="-6"/>
          <w:sz w:val="24"/>
          <w:szCs w:val="24"/>
          <w:lang w:eastAsia="es-PE"/>
        </w:rPr>
      </w:pPr>
      <w:r w:rsidRPr="006730DA">
        <w:rPr>
          <w:rFonts w:eastAsia="Times New Roman" w:cstheme="minorHAnsi"/>
          <w:b/>
          <w:bCs/>
          <w:color w:val="373737"/>
          <w:spacing w:val="-6"/>
          <w:sz w:val="24"/>
          <w:szCs w:val="24"/>
          <w:lang w:eastAsia="es-PE"/>
        </w:rPr>
        <w:t>Pásatelo bien.</w:t>
      </w:r>
    </w:p>
    <w:bookmarkEnd w:id="0"/>
    <w:p w:rsidR="009C0BBD" w:rsidRDefault="009C0BBD"/>
    <w:sectPr w:rsidR="009C0B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77B" w:rsidRDefault="00A5077B" w:rsidP="006730DA">
      <w:pPr>
        <w:spacing w:after="0" w:line="240" w:lineRule="auto"/>
      </w:pPr>
      <w:r>
        <w:separator/>
      </w:r>
    </w:p>
  </w:endnote>
  <w:endnote w:type="continuationSeparator" w:id="0">
    <w:p w:rsidR="00A5077B" w:rsidRDefault="00A5077B" w:rsidP="0067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77B" w:rsidRDefault="00A5077B" w:rsidP="006730DA">
      <w:pPr>
        <w:spacing w:after="0" w:line="240" w:lineRule="auto"/>
      </w:pPr>
      <w:r>
        <w:separator/>
      </w:r>
    </w:p>
  </w:footnote>
  <w:footnote w:type="continuationSeparator" w:id="0">
    <w:p w:rsidR="00A5077B" w:rsidRDefault="00A5077B" w:rsidP="00673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52126"/>
    <w:multiLevelType w:val="multilevel"/>
    <w:tmpl w:val="AC582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9A012C"/>
    <w:multiLevelType w:val="multilevel"/>
    <w:tmpl w:val="61E0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0DA"/>
    <w:rsid w:val="006730DA"/>
    <w:rsid w:val="009C0BBD"/>
    <w:rsid w:val="009C48FB"/>
    <w:rsid w:val="00A5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59E4D"/>
  <w15:chartTrackingRefBased/>
  <w15:docId w15:val="{2C992B2F-17FC-4834-AC4C-C45B05BF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30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30DA"/>
  </w:style>
  <w:style w:type="paragraph" w:styleId="Piedepgina">
    <w:name w:val="footer"/>
    <w:basedOn w:val="Normal"/>
    <w:link w:val="PiedepginaCar"/>
    <w:uiPriority w:val="99"/>
    <w:unhideWhenUsed/>
    <w:rsid w:val="006730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3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uidateplus.marca.com/enfermedades/psiquiatricas/depresi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Anllelo Julio Fuentes Panduro</dc:creator>
  <cp:keywords/>
  <dc:description/>
  <cp:lastModifiedBy>Anllelo Julio Fuentes Panduro</cp:lastModifiedBy>
  <cp:revision>1</cp:revision>
  <dcterms:created xsi:type="dcterms:W3CDTF">2022-04-25T03:33:00Z</dcterms:created>
  <dcterms:modified xsi:type="dcterms:W3CDTF">2022-04-25T04:36:00Z</dcterms:modified>
</cp:coreProperties>
</file>